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209D" w14:textId="77777777" w:rsidR="00002809" w:rsidRDefault="00000000">
      <w:pPr>
        <w:shd w:val="clear" w:color="auto" w:fill="16283D"/>
        <w:spacing w:before="120" w:after="120"/>
        <w:ind w:left="240" w:right="240"/>
      </w:pPr>
      <w:r>
        <w:rPr>
          <w:rFonts w:ascii="Noto Serif" w:eastAsia="Noto Serif" w:hAnsi="Noto Serif" w:cs="Noto Serif"/>
          <w:b/>
          <w:bCs/>
          <w:color w:val="FFFFFF"/>
          <w:sz w:val="44"/>
          <w:szCs w:val="44"/>
        </w:rPr>
        <w:t>NAGPRA Readiness Worksheet</w:t>
      </w:r>
    </w:p>
    <w:p w14:paraId="197FE634" w14:textId="77777777" w:rsidR="00002809" w:rsidRDefault="00000000">
      <w:pPr>
        <w:spacing w:after="240"/>
        <w:ind w:left="240"/>
      </w:pPr>
      <w:r>
        <w:rPr>
          <w:rFonts w:ascii="Noto Serif" w:eastAsia="Noto Serif" w:hAnsi="Noto Serif" w:cs="Noto Serif"/>
          <w:color w:val="243D2E"/>
          <w:sz w:val="24"/>
          <w:szCs w:val="24"/>
        </w:rPr>
        <w:t>A companion tool from Parman &amp; Carnes Consulting, LLC</w:t>
      </w:r>
    </w:p>
    <w:p w14:paraId="5AAF1116" w14:textId="77777777" w:rsidR="00002809" w:rsidRDefault="00000000">
      <w:pPr>
        <w:spacing w:before="240" w:after="120"/>
      </w:pPr>
      <w:r>
        <w:rPr>
          <w:rFonts w:ascii="Noto Serif" w:eastAsia="Noto Serif" w:hAnsi="Noto Serif" w:cs="Noto Serif"/>
          <w:b/>
          <w:bCs/>
          <w:color w:val="16283D"/>
          <w:sz w:val="28"/>
          <w:szCs w:val="28"/>
        </w:rPr>
        <w:t>How to Use This Worksheet</w:t>
      </w:r>
    </w:p>
    <w:p w14:paraId="092F5BAD" w14:textId="0C24FD13" w:rsidR="00002809" w:rsidRDefault="00000000">
      <w:pPr>
        <w:spacing w:after="240"/>
      </w:pPr>
      <w:r>
        <w:rPr>
          <w:color w:val="2A4459"/>
          <w:sz w:val="22"/>
          <w:szCs w:val="22"/>
        </w:rPr>
        <w:t xml:space="preserve">Move through each domain at your own pace. There is no </w:t>
      </w:r>
      <w:r w:rsidR="00867AE8">
        <w:rPr>
          <w:color w:val="2A4459"/>
          <w:sz w:val="22"/>
          <w:szCs w:val="22"/>
        </w:rPr>
        <w:t>right or wrong</w:t>
      </w:r>
      <w:r>
        <w:rPr>
          <w:color w:val="2A4459"/>
          <w:sz w:val="22"/>
          <w:szCs w:val="22"/>
        </w:rPr>
        <w:t xml:space="preserve"> score — the goal is noticing, naming, and choosing one meaningful next step.</w:t>
      </w:r>
    </w:p>
    <w:p w14:paraId="78DCB7CA" w14:textId="77777777" w:rsidR="00002809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1: Collections Assessment &amp; Documentation</w:t>
      </w:r>
    </w:p>
    <w:p w14:paraId="4683A636" w14:textId="77777777" w:rsidR="00002809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438C39C3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7590C700" w14:textId="59FDD4AB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We have a basic inventory but gaps in provenance or cultural affiliations.</w:t>
      </w:r>
    </w:p>
    <w:p w14:paraId="4E2F510C" w14:textId="13AAA9FD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are systematically reviewing records and consulting with tribes.</w:t>
      </w:r>
    </w:p>
    <w:p w14:paraId="0845118E" w14:textId="0A2DF7FF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Documentation is current, consulted with tribes, and accessible internally.</w:t>
      </w:r>
    </w:p>
    <w:p w14:paraId="5CBF200B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2B3D2D53" w14:textId="77777777" w:rsidR="00002809" w:rsidRDefault="00000000">
      <w:pPr>
        <w:spacing w:after="60"/>
      </w:pPr>
      <w:r>
        <w:rPr>
          <w:color w:val="243D2E"/>
          <w:sz w:val="22"/>
          <w:szCs w:val="22"/>
        </w:rPr>
        <w:t>What gaps do we have in our collections records, and which tribes should we consult about items in our care?</w:t>
      </w:r>
    </w:p>
    <w:p w14:paraId="65008F22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17FFE37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6486F48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23E1D4D4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29AEA148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Select one collection area and schedule a consultation with an affiliated tribe about provenance questions.</w:t>
      </w:r>
    </w:p>
    <w:p w14:paraId="2B6E1FF3" w14:textId="77777777" w:rsidR="00002809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3ACC6A1F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4F0FED9E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311BB5BE" w14:textId="77777777" w:rsidR="00002809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2: Tribal Consultation &amp; Notification</w:t>
      </w:r>
    </w:p>
    <w:p w14:paraId="0F1810B8" w14:textId="77777777" w:rsidR="00002809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29461C64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01BBEEFD" w14:textId="440880D3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We have not formally notified tribes or consulted on specific items.</w:t>
      </w:r>
    </w:p>
    <w:p w14:paraId="21CC1E67" w14:textId="45B10688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are building relationships and beginning consultations with some tribes.</w:t>
      </w:r>
    </w:p>
    <w:p w14:paraId="2EB71BA1" w14:textId="47CC6DC4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Consultations are ongoing, documented, and tribes are involved in decision-making.</w:t>
      </w:r>
    </w:p>
    <w:p w14:paraId="41ABC189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752C7AA2" w14:textId="77777777" w:rsidR="00002809" w:rsidRDefault="00000000">
      <w:pPr>
        <w:spacing w:after="60"/>
      </w:pPr>
      <w:r>
        <w:rPr>
          <w:color w:val="243D2E"/>
          <w:sz w:val="22"/>
          <w:szCs w:val="22"/>
        </w:rPr>
        <w:t>How do we identify the right tribes to consult, and what barriers prevent more regular engagement?</w:t>
      </w:r>
    </w:p>
    <w:p w14:paraId="46699F33" w14:textId="77777777" w:rsidR="00002809" w:rsidRDefault="00000000">
      <w:pPr>
        <w:spacing w:after="80"/>
      </w:pPr>
      <w:r>
        <w:rPr>
          <w:color w:val="7E98AA"/>
        </w:rPr>
        <w:lastRenderedPageBreak/>
        <w:t>_________________________________________________________________________________</w:t>
      </w:r>
    </w:p>
    <w:p w14:paraId="5D0D353A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5EBFD9C5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1124365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34B03197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Reach out to one tribe leader with a specific question or invitation to visit the collections.</w:t>
      </w:r>
    </w:p>
    <w:p w14:paraId="666B34A9" w14:textId="77777777" w:rsidR="00002809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39D035B0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3A86D98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F810CB9" w14:textId="77777777" w:rsidR="00002809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3: Repatriation Procedures &amp; Readiness</w:t>
      </w:r>
    </w:p>
    <w:p w14:paraId="44D2115D" w14:textId="77777777" w:rsidR="00002809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49F0F5E0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3C156B17" w14:textId="5DAA7819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We have no formal repatriation policy or process.</w:t>
      </w:r>
    </w:p>
    <w:p w14:paraId="1CBA2D98" w14:textId="54711CD2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have drafted a policy and begun reviewing requests.</w:t>
      </w:r>
    </w:p>
    <w:p w14:paraId="2D73EAB3" w14:textId="3FE6D444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Our repatriation policy is documented, staff are trained, and we have completed repatriations.</w:t>
      </w:r>
    </w:p>
    <w:p w14:paraId="52FF9DA2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334F2A11" w14:textId="77777777" w:rsidR="00002809" w:rsidRDefault="00000000">
      <w:pPr>
        <w:spacing w:after="60"/>
      </w:pPr>
      <w:r>
        <w:rPr>
          <w:color w:val="243D2E"/>
          <w:sz w:val="22"/>
          <w:szCs w:val="22"/>
        </w:rPr>
        <w:t>What are the biggest obstacles to repatriation in our organization, and what resources would help?</w:t>
      </w:r>
    </w:p>
    <w:p w14:paraId="7F0D9C53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4833074D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8ABE512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257FC40C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3190D867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Review one repatriation request or draft a response timeline for a pending request.</w:t>
      </w:r>
    </w:p>
    <w:p w14:paraId="1CCAAB4E" w14:textId="77777777" w:rsidR="00002809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261A988B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55AD1BA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82CC67A" w14:textId="77777777" w:rsidR="00002809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4: Staff Knowledge &amp; Training</w:t>
      </w:r>
    </w:p>
    <w:p w14:paraId="18C72478" w14:textId="77777777" w:rsidR="00002809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2ACEC385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592F9A6F" w14:textId="1F91C99F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Few staff understand NAGPRA requirements or tribal perspectives.</w:t>
      </w:r>
    </w:p>
    <w:p w14:paraId="12447B5B" w14:textId="462C873A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Some staff have attended training or worked on NAGPRA compliance.</w:t>
      </w:r>
    </w:p>
    <w:p w14:paraId="683CFC2B" w14:textId="5728516B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All relevant staff understand NAGPRA, participate in training, and can speak knowledgeably with tribes.</w:t>
      </w:r>
    </w:p>
    <w:p w14:paraId="06A2DA9C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30A9561C" w14:textId="77777777" w:rsidR="00002809" w:rsidRDefault="00000000">
      <w:pPr>
        <w:spacing w:after="60"/>
      </w:pPr>
      <w:r>
        <w:rPr>
          <w:color w:val="243D2E"/>
          <w:sz w:val="22"/>
          <w:szCs w:val="22"/>
        </w:rPr>
        <w:t>What knowledge gaps exist in our team, and how can we build shared understanding of NAGPRA and tribal relationships?</w:t>
      </w:r>
    </w:p>
    <w:p w14:paraId="6B5935EE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5876C96B" w14:textId="77777777" w:rsidR="00002809" w:rsidRDefault="00000000">
      <w:pPr>
        <w:spacing w:after="80"/>
      </w:pPr>
      <w:r>
        <w:rPr>
          <w:color w:val="7E98AA"/>
        </w:rPr>
        <w:lastRenderedPageBreak/>
        <w:t>_________________________________________________________________________________</w:t>
      </w:r>
    </w:p>
    <w:p w14:paraId="601A0588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61530F51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4A7F7942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Schedule a brief training session or discussion about one aspect of NAGPRA for your team.</w:t>
      </w:r>
    </w:p>
    <w:p w14:paraId="175BA2DC" w14:textId="77777777" w:rsidR="00002809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31838925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1E312543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5E6F467E" w14:textId="77777777" w:rsidR="00002809" w:rsidRDefault="00000000">
      <w:pPr>
        <w:shd w:val="clear" w:color="auto" w:fill="243D2E"/>
        <w:spacing w:before="320" w:after="160"/>
        <w:ind w:left="200" w:right="200"/>
      </w:pPr>
      <w:r>
        <w:rPr>
          <w:rFonts w:ascii="Noto Serif" w:eastAsia="Noto Serif" w:hAnsi="Noto Serif" w:cs="Noto Serif"/>
          <w:b/>
          <w:bCs/>
          <w:color w:val="FFFFFF"/>
          <w:sz w:val="26"/>
          <w:szCs w:val="26"/>
        </w:rPr>
        <w:t>Section 5: Commitment &amp; Accountability</w:t>
      </w:r>
    </w:p>
    <w:p w14:paraId="6DF030BA" w14:textId="77777777" w:rsidR="00002809" w:rsidRDefault="00000000">
      <w:pPr>
        <w:spacing w:before="120" w:after="80"/>
      </w:pPr>
      <w:r>
        <w:rPr>
          <w:b/>
          <w:bCs/>
          <w:color w:val="16283D"/>
          <w:sz w:val="24"/>
          <w:szCs w:val="24"/>
        </w:rPr>
        <w:t>1. Readiness Check</w:t>
      </w:r>
    </w:p>
    <w:p w14:paraId="328A516C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Circle the statement that best reflects your current practice:</w:t>
      </w:r>
    </w:p>
    <w:p w14:paraId="7F626DD4" w14:textId="604203CE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Emerging: NAGPRA compliance is episodic or seen as a burden.</w:t>
      </w:r>
    </w:p>
    <w:p w14:paraId="7E1C56CC" w14:textId="0577E51C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Developing: We have assigned responsibility and are building processes.</w:t>
      </w:r>
    </w:p>
    <w:p w14:paraId="203AC8D2" w14:textId="1A9D8572" w:rsidR="00002809" w:rsidRDefault="00867AE8">
      <w:pPr>
        <w:spacing w:after="60"/>
        <w:ind w:left="360"/>
      </w:pPr>
      <w:r>
        <w:rPr>
          <w:rFonts w:ascii="Segoe UI Symbol" w:hAnsi="Segoe UI Symbol" w:cs="Segoe UI Symbol"/>
          <w:color w:val="2A4459"/>
          <w:sz w:val="22"/>
          <w:szCs w:val="22"/>
        </w:rPr>
        <w:t>☐</w:t>
      </w:r>
      <w:r>
        <w:rPr>
          <w:color w:val="2A4459"/>
          <w:sz w:val="22"/>
          <w:szCs w:val="22"/>
        </w:rPr>
        <w:t xml:space="preserve"> Aligned: NAGPRA work is integrated into operations, funded, and considered a core mission.</w:t>
      </w:r>
    </w:p>
    <w:p w14:paraId="0A36EBBF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2. Reflection</w:t>
      </w:r>
    </w:p>
    <w:p w14:paraId="77FEAE7D" w14:textId="77777777" w:rsidR="00002809" w:rsidRDefault="00000000">
      <w:pPr>
        <w:spacing w:after="60"/>
      </w:pPr>
      <w:r>
        <w:rPr>
          <w:color w:val="243D2E"/>
          <w:sz w:val="22"/>
          <w:szCs w:val="22"/>
        </w:rPr>
        <w:t>What internal support or resources would signal to tribes that NAGPRA work is genuinely important to us?</w:t>
      </w:r>
    </w:p>
    <w:p w14:paraId="0078E2C8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38A0BF64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9DB23AB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36F408E0" w14:textId="77777777" w:rsidR="00002809" w:rsidRDefault="00000000">
      <w:pPr>
        <w:spacing w:before="160" w:after="80"/>
      </w:pPr>
      <w:r>
        <w:rPr>
          <w:b/>
          <w:bCs/>
          <w:color w:val="16283D"/>
          <w:sz w:val="24"/>
          <w:szCs w:val="24"/>
        </w:rPr>
        <w:t>3. Micro-Action</w:t>
      </w:r>
    </w:p>
    <w:p w14:paraId="4B05443A" w14:textId="77777777" w:rsidR="00002809" w:rsidRDefault="00000000">
      <w:pPr>
        <w:spacing w:after="100"/>
      </w:pPr>
      <w:r>
        <w:rPr>
          <w:color w:val="2A4459"/>
          <w:sz w:val="22"/>
          <w:szCs w:val="22"/>
        </w:rPr>
        <w:t>Identify one way to make NAGPRA work more visible or valued in your organization this month.</w:t>
      </w:r>
    </w:p>
    <w:p w14:paraId="24175085" w14:textId="77777777" w:rsidR="00002809" w:rsidRDefault="00000000">
      <w:pPr>
        <w:spacing w:after="60"/>
      </w:pPr>
      <w:r>
        <w:rPr>
          <w:b/>
          <w:bCs/>
          <w:color w:val="16283D"/>
          <w:sz w:val="22"/>
          <w:szCs w:val="22"/>
        </w:rPr>
        <w:t>What will you do?</w:t>
      </w:r>
    </w:p>
    <w:p w14:paraId="2D78C3ED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D012B20" w14:textId="77777777" w:rsidR="00002809" w:rsidRDefault="00000000">
      <w:pPr>
        <w:spacing w:after="80"/>
      </w:pPr>
      <w:r>
        <w:rPr>
          <w:color w:val="7E98AA"/>
        </w:rPr>
        <w:t>_________________________________________________________________________________</w:t>
      </w:r>
    </w:p>
    <w:p w14:paraId="00E01DCE" w14:textId="77777777" w:rsidR="00002809" w:rsidRDefault="00000000">
      <w:r>
        <w:br w:type="page"/>
      </w:r>
    </w:p>
    <w:p w14:paraId="30E41DA3" w14:textId="77777777" w:rsidR="00002809" w:rsidRDefault="00000000">
      <w:pPr>
        <w:spacing w:before="240" w:after="160"/>
      </w:pPr>
      <w:r>
        <w:rPr>
          <w:rFonts w:ascii="Noto Serif" w:eastAsia="Noto Serif" w:hAnsi="Noto Serif" w:cs="Noto Serif"/>
          <w:b/>
          <w:bCs/>
          <w:color w:val="16283D"/>
          <w:sz w:val="28"/>
          <w:szCs w:val="28"/>
        </w:rPr>
        <w:lastRenderedPageBreak/>
        <w:t>Closing Reflection</w:t>
      </w:r>
    </w:p>
    <w:p w14:paraId="3A51B9BA" w14:textId="77777777" w:rsidR="00002809" w:rsidRDefault="00000000">
      <w:pPr>
        <w:spacing w:after="100"/>
      </w:pPr>
      <w:r>
        <w:rPr>
          <w:b/>
          <w:bCs/>
          <w:color w:val="16283D"/>
          <w:sz w:val="24"/>
          <w:szCs w:val="24"/>
        </w:rPr>
        <w:t>What patterns did we notice across the five domains?</w:t>
      </w:r>
    </w:p>
    <w:p w14:paraId="6C4EECCC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2ADF36A3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503FCDAD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3AC2441C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49BBACFB" w14:textId="77777777" w:rsidR="00002809" w:rsidRDefault="00000000">
      <w:pPr>
        <w:spacing w:before="200" w:after="100"/>
      </w:pPr>
      <w:r>
        <w:rPr>
          <w:b/>
          <w:bCs/>
          <w:color w:val="16283D"/>
          <w:sz w:val="24"/>
          <w:szCs w:val="24"/>
        </w:rPr>
        <w:t>What is one shift we can commit to this month?</w:t>
      </w:r>
    </w:p>
    <w:p w14:paraId="3FE7E59C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3E607600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159BC029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p w14:paraId="1327966D" w14:textId="77777777" w:rsidR="00002809" w:rsidRDefault="00000000">
      <w:pPr>
        <w:spacing w:after="100"/>
      </w:pPr>
      <w:r>
        <w:rPr>
          <w:color w:val="7E98AA"/>
        </w:rPr>
        <w:t>_________________________________________________________________________________</w:t>
      </w:r>
    </w:p>
    <w:sectPr w:rsidR="00002809" w:rsidSect="00CD3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047D" w14:textId="77777777" w:rsidR="00886CB7" w:rsidRDefault="00886CB7">
      <w:r>
        <w:separator/>
      </w:r>
    </w:p>
  </w:endnote>
  <w:endnote w:type="continuationSeparator" w:id="0">
    <w:p w14:paraId="515A7F4F" w14:textId="77777777" w:rsidR="00886CB7" w:rsidRDefault="0088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14F8" w14:textId="77777777" w:rsidR="00CD3171" w:rsidRDefault="00CD3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42D3" w14:textId="77777777" w:rsidR="00002809" w:rsidRDefault="00000000">
    <w:pPr>
      <w:pBdr>
        <w:top w:val="single" w:sz="6" w:space="0" w:color="243D2E"/>
      </w:pBdr>
      <w:tabs>
        <w:tab w:val="right" w:pos="9360"/>
      </w:tabs>
      <w:spacing w:before="80"/>
    </w:pPr>
    <w:r>
      <w:rPr>
        <w:color w:val="7E98AA"/>
        <w:sz w:val="18"/>
        <w:szCs w:val="18"/>
      </w:rPr>
      <w:t>Ethical Pathways for Global Cultural Relationships</w:t>
    </w:r>
    <w:r>
      <w:rPr>
        <w:sz w:val="18"/>
        <w:szCs w:val="18"/>
      </w:rPr>
      <w:tab/>
    </w:r>
    <w:r>
      <w:rPr>
        <w:color w:val="7E98AA"/>
        <w:sz w:val="18"/>
        <w:szCs w:val="18"/>
      </w:rPr>
      <w:t xml:space="preserve">Page </w:t>
    </w:r>
    <w:r>
      <w:rPr>
        <w:color w:val="7E98AA"/>
        <w:sz w:val="18"/>
        <w:szCs w:val="18"/>
      </w:rPr>
      <w:fldChar w:fldCharType="begin"/>
    </w:r>
    <w:r>
      <w:rPr>
        <w:color w:val="7E98AA"/>
        <w:sz w:val="18"/>
        <w:szCs w:val="18"/>
      </w:rPr>
      <w:instrText>PAGE</w:instrText>
    </w:r>
    <w:r>
      <w:rPr>
        <w:color w:val="7E98AA"/>
        <w:sz w:val="18"/>
        <w:szCs w:val="18"/>
      </w:rPr>
      <w:fldChar w:fldCharType="separate"/>
    </w:r>
    <w:r w:rsidR="00E612DB">
      <w:rPr>
        <w:noProof/>
        <w:color w:val="7E98AA"/>
        <w:sz w:val="18"/>
        <w:szCs w:val="18"/>
      </w:rPr>
      <w:t>1</w:t>
    </w:r>
    <w:r>
      <w:rPr>
        <w:color w:val="7E98A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CD6C" w14:textId="77777777" w:rsidR="00CD3171" w:rsidRDefault="00CD3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B2FB" w14:textId="77777777" w:rsidR="00886CB7" w:rsidRDefault="00886CB7">
      <w:r>
        <w:separator/>
      </w:r>
    </w:p>
  </w:footnote>
  <w:footnote w:type="continuationSeparator" w:id="0">
    <w:p w14:paraId="4B9B5CFC" w14:textId="77777777" w:rsidR="00886CB7" w:rsidRDefault="0088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913C" w14:textId="77777777" w:rsidR="00CD3171" w:rsidRDefault="00CD3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A9EB" w14:textId="77777777" w:rsidR="00002809" w:rsidRDefault="00000000">
    <w:pPr>
      <w:pBdr>
        <w:bottom w:val="single" w:sz="6" w:space="0" w:color="243D2E"/>
      </w:pBdr>
      <w:spacing w:after="80"/>
    </w:pPr>
    <w:r>
      <w:rPr>
        <w:b/>
        <w:bCs/>
        <w:color w:val="16283D"/>
      </w:rPr>
      <w:t>Parman &amp; Carnes Consulting, LLC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B4F1" w14:textId="1D32472E" w:rsidR="00CD3171" w:rsidRDefault="00CD3171" w:rsidP="00CD3171">
    <w:pPr>
      <w:pStyle w:val="Header"/>
      <w:ind w:left="-720" w:right="-720"/>
    </w:pPr>
    <w:r>
      <w:rPr>
        <w:noProof/>
      </w:rPr>
      <w:drawing>
        <wp:inline distT="0" distB="0" distL="0" distR="0" wp14:anchorId="2CE166B6" wp14:editId="6F631E89">
          <wp:extent cx="2862470" cy="964969"/>
          <wp:effectExtent l="0" t="0" r="0" b="635"/>
          <wp:docPr id="3812869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86908" name="Picture 3812869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184" cy="98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C9DA1A" w14:textId="77777777" w:rsidR="00CD3171" w:rsidRDefault="00CD3171" w:rsidP="00CD3171">
    <w:pPr>
      <w:pStyle w:val="Header"/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353F"/>
    <w:multiLevelType w:val="hybridMultilevel"/>
    <w:tmpl w:val="CAE8CAEC"/>
    <w:lvl w:ilvl="0" w:tplc="7E5ACA0A">
      <w:start w:val="1"/>
      <w:numFmt w:val="bullet"/>
      <w:lvlText w:val="●"/>
      <w:lvlJc w:val="left"/>
      <w:pPr>
        <w:ind w:left="720" w:hanging="360"/>
      </w:pPr>
    </w:lvl>
    <w:lvl w:ilvl="1" w:tplc="8A4611D2">
      <w:start w:val="1"/>
      <w:numFmt w:val="bullet"/>
      <w:lvlText w:val="○"/>
      <w:lvlJc w:val="left"/>
      <w:pPr>
        <w:ind w:left="1440" w:hanging="360"/>
      </w:pPr>
    </w:lvl>
    <w:lvl w:ilvl="2" w:tplc="23723164">
      <w:start w:val="1"/>
      <w:numFmt w:val="bullet"/>
      <w:lvlText w:val="■"/>
      <w:lvlJc w:val="left"/>
      <w:pPr>
        <w:ind w:left="2160" w:hanging="360"/>
      </w:pPr>
    </w:lvl>
    <w:lvl w:ilvl="3" w:tplc="4894CEA2">
      <w:start w:val="1"/>
      <w:numFmt w:val="bullet"/>
      <w:lvlText w:val="●"/>
      <w:lvlJc w:val="left"/>
      <w:pPr>
        <w:ind w:left="2880" w:hanging="360"/>
      </w:pPr>
    </w:lvl>
    <w:lvl w:ilvl="4" w:tplc="CEFAD6AE">
      <w:start w:val="1"/>
      <w:numFmt w:val="bullet"/>
      <w:lvlText w:val="○"/>
      <w:lvlJc w:val="left"/>
      <w:pPr>
        <w:ind w:left="3600" w:hanging="360"/>
      </w:pPr>
    </w:lvl>
    <w:lvl w:ilvl="5" w:tplc="6B44ACDE">
      <w:start w:val="1"/>
      <w:numFmt w:val="bullet"/>
      <w:lvlText w:val="■"/>
      <w:lvlJc w:val="left"/>
      <w:pPr>
        <w:ind w:left="4320" w:hanging="360"/>
      </w:pPr>
    </w:lvl>
    <w:lvl w:ilvl="6" w:tplc="62F6EE8C">
      <w:start w:val="1"/>
      <w:numFmt w:val="bullet"/>
      <w:lvlText w:val="●"/>
      <w:lvlJc w:val="left"/>
      <w:pPr>
        <w:ind w:left="5040" w:hanging="360"/>
      </w:pPr>
    </w:lvl>
    <w:lvl w:ilvl="7" w:tplc="F4A60CD0">
      <w:start w:val="1"/>
      <w:numFmt w:val="bullet"/>
      <w:lvlText w:val="●"/>
      <w:lvlJc w:val="left"/>
      <w:pPr>
        <w:ind w:left="5760" w:hanging="360"/>
      </w:pPr>
    </w:lvl>
    <w:lvl w:ilvl="8" w:tplc="FDD6C05E">
      <w:start w:val="1"/>
      <w:numFmt w:val="bullet"/>
      <w:lvlText w:val="●"/>
      <w:lvlJc w:val="left"/>
      <w:pPr>
        <w:ind w:left="6480" w:hanging="360"/>
      </w:pPr>
    </w:lvl>
  </w:abstractNum>
  <w:num w:numId="1" w16cid:durableId="16698703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09"/>
    <w:rsid w:val="00002809"/>
    <w:rsid w:val="00551567"/>
    <w:rsid w:val="00867AE8"/>
    <w:rsid w:val="00886CB7"/>
    <w:rsid w:val="009B305C"/>
    <w:rsid w:val="00CD3171"/>
    <w:rsid w:val="00D56832"/>
    <w:rsid w:val="00E612DB"/>
    <w:rsid w:val="00F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E0654A"/>
  <w15:docId w15:val="{FD7E89AB-B62E-F449-BC0A-67BAF9A6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171"/>
  </w:style>
  <w:style w:type="paragraph" w:styleId="Footer">
    <w:name w:val="footer"/>
    <w:basedOn w:val="Normal"/>
    <w:link w:val="FooterChar"/>
    <w:uiPriority w:val="99"/>
    <w:unhideWhenUsed/>
    <w:rsid w:val="00CD3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926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 Brinkley</cp:lastModifiedBy>
  <cp:revision>4</cp:revision>
  <dcterms:created xsi:type="dcterms:W3CDTF">2026-04-21T18:28:00Z</dcterms:created>
  <dcterms:modified xsi:type="dcterms:W3CDTF">2026-04-22T05:47:00Z</dcterms:modified>
</cp:coreProperties>
</file>